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FB694E3" w14:textId="7A7AAA05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</w:p>
    <w:p w14:paraId="05EE6216" w14:textId="2530E464" w:rsidR="00B864A8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об основных условиях срочного вклада*</w:t>
      </w:r>
    </w:p>
    <w:p w14:paraId="06782CEF" w14:textId="77777777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8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887"/>
      </w:tblGrid>
      <w:tr w:rsidR="00B864A8" w:rsidRPr="008A5026" w14:paraId="1FBFBA54" w14:textId="77777777" w:rsidTr="008A5026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F2AF" w14:textId="7EA1280D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266B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8A5026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8A5026" w14:paraId="78B97B67" w14:textId="77777777" w:rsidTr="0076079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8A5026" w:rsidRDefault="002266B2" w:rsidP="008A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B864A8" w:rsidRPr="008A5026" w14:paraId="50B545C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486462D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835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Latn-UZ"/>
              </w:rPr>
              <w:t>Sarmoya</w:t>
            </w: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B864A8" w:rsidRPr="008A5026" w14:paraId="61A368FA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6B74E9A1" w:rsidR="00B864A8" w:rsidRPr="008A5026" w:rsidRDefault="00835E51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35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Доллар США</w:t>
            </w:r>
          </w:p>
        </w:tc>
      </w:tr>
      <w:tr w:rsidR="00B864A8" w:rsidRPr="008A5026" w14:paraId="79AF2D21" w14:textId="77777777" w:rsidTr="008A5026">
        <w:trPr>
          <w:trHeight w:val="1241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Годовая процентная ставка по вкладу </w:t>
            </w:r>
            <w:r w:rsidR="002266B2" w:rsidRPr="008A502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F94" w14:textId="77777777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120FDA3" w14:textId="2CDA4042" w:rsidR="00B864A8" w:rsidRPr="008A5026" w:rsidRDefault="00835E51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5 </w:t>
            </w:r>
            <w:r w:rsidR="00B864A8"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</w:tc>
      </w:tr>
      <w:tr w:rsidR="00B864A8" w:rsidRPr="008A5026" w14:paraId="5710C3D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4AB7AAF5" w14:textId="77777777" w:rsidTr="008A5026">
        <w:trPr>
          <w:trHeight w:val="318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29FCCB15" w:rsidR="00B864A8" w:rsidRPr="008A5026" w:rsidRDefault="00835E51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Latn-UZ"/>
              </w:rPr>
              <w:t xml:space="preserve">18 </w:t>
            </w:r>
            <w:r w:rsidR="002D65D2" w:rsidRPr="008A5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835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Восемнадцать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Latn-UZ" w:eastAsia="ru-RU"/>
              </w:rPr>
              <w:t>)</w:t>
            </w:r>
            <w:r w:rsidRPr="008A5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65D2" w:rsidRPr="008A5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</w:tr>
      <w:tr w:rsidR="00B864A8" w:rsidRPr="008A5026" w14:paraId="2ADEA1E6" w14:textId="77777777" w:rsidTr="0076079B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0D02D9E3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60" w:right="140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Минимальная сумма </w:t>
            </w:r>
            <w:proofErr w:type="gramStart"/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Пятьсот</w:t>
            </w:r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доллар</w:t>
            </w:r>
            <w:proofErr w:type="spellStart"/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="00835E51" w:rsidRPr="0083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США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максимальная сумма не ограничена</w:t>
            </w:r>
          </w:p>
        </w:tc>
      </w:tr>
      <w:tr w:rsidR="00B864A8" w:rsidRPr="008A5026" w14:paraId="4624BB8A" w14:textId="77777777" w:rsidTr="008A5026">
        <w:trPr>
          <w:trHeight w:val="5364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Периодичность выплаты процентов по вкладу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AF1" w14:textId="71B0A5D3" w:rsidR="00835E51" w:rsidRPr="00835E51" w:rsidRDefault="00835E51" w:rsidP="00835E51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835E51">
              <w:rPr>
                <w:rFonts w:ascii="Times New Roman" w:hAnsi="Times New Roman" w:cs="Times New Roman"/>
                <w:noProof/>
                <w:sz w:val="24"/>
                <w:szCs w:val="24"/>
              </w:rPr>
              <w:t>роценты, начисляемые ежедневно по вкладу и накапливаемые на резервных счетах, могут быть востребованы вкладчиком по его требованию даже до истечения одного месяца. В этом случае, если сумма вклада востребована до истечения срока хранения, начисленные и выплаченные по вкладу средства подлежат перерасчёту, а образовавшаяся разница удерживается из остатка вклада.</w:t>
            </w:r>
          </w:p>
          <w:p w14:paraId="22A8F0A5" w14:textId="1F445A91" w:rsidR="00B864A8" w:rsidRPr="008A5026" w:rsidRDefault="00B30F0F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Проценты по средствам, размещённым через мобильное</w:t>
            </w:r>
            <w:r w:rsid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приложение, ежемесячно зачисляются на вклад до момента, пока вкладчик не потребует их снятия.</w:t>
            </w:r>
          </w:p>
        </w:tc>
      </w:tr>
      <w:tr w:rsidR="00B864A8" w:rsidRPr="008A5026" w14:paraId="40E6D834" w14:textId="77777777" w:rsidTr="0076079B">
        <w:trPr>
          <w:trHeight w:val="61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6489A95A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</w:p>
        </w:tc>
      </w:tr>
      <w:tr w:rsidR="00B864A8" w:rsidRPr="008A5026" w14:paraId="187A15CA" w14:textId="77777777" w:rsidTr="0076079B">
        <w:trPr>
          <w:trHeight w:val="69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29280D21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средства не принимаются</w:t>
            </w:r>
          </w:p>
        </w:tc>
      </w:tr>
      <w:tr w:rsidR="00B864A8" w:rsidRPr="008A5026" w14:paraId="2176D10A" w14:textId="77777777" w:rsidTr="0076079B">
        <w:trPr>
          <w:trHeight w:val="883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10. </w:t>
            </w:r>
            <w:proofErr w:type="spellStart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8A5026" w:rsidRPr="008A5026" w14:paraId="31EABDEE" w14:textId="77777777" w:rsidTr="008A5026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73856029" w:rsidR="008A5026" w:rsidRPr="008A5026" w:rsidRDefault="008A5026" w:rsidP="008A5026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B864A8" w:rsidRPr="008A5026" w14:paraId="7CD63F7B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B864A8" w:rsidRPr="008A5026" w:rsidRDefault="002D476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98F" w14:textId="31C4B8D6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2F194296" w14:textId="77777777" w:rsidTr="0076079B">
        <w:trPr>
          <w:trHeight w:val="2547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AF27" w14:textId="77777777" w:rsidR="0076079B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Порядок досрочного расторжения договора</w:t>
            </w:r>
          </w:p>
          <w:p w14:paraId="424E5E66" w14:textId="3C3AB85D" w:rsidR="00B864A8" w:rsidRPr="008A5026" w:rsidRDefault="0076079B" w:rsidP="0076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33E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50DF" w14:textId="1EE5C831" w:rsidR="00835E51" w:rsidRPr="00835E51" w:rsidRDefault="00835E51" w:rsidP="00835E51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Pr="00835E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сли средства вклада востребованы до истечения срока хранения, начисленные и выплаченные процентные доходы пересчитываются, и выплата производится </w:t>
            </w:r>
            <w:r w:rsidRPr="0083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в размере 4% годовых</w:t>
            </w:r>
            <w:r w:rsidRPr="00835E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за фактические дни хранения вклада.</w:t>
            </w:r>
          </w:p>
          <w:p w14:paraId="53884DB0" w14:textId="541BBFA4" w:rsidR="00B864A8" w:rsidRPr="00835E51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864A8" w:rsidRPr="008A5026" w14:paraId="1E184782" w14:textId="77777777" w:rsidTr="0076079B">
        <w:trPr>
          <w:trHeight w:val="258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Управление денежными средствами, размещёнными на вкладе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B864A8" w:rsidRPr="008A5026" w:rsidRDefault="00940DD4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240C6A4C" w:rsidR="00625524" w:rsidRPr="008A5026" w:rsidRDefault="00625524" w:rsidP="008A502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8A5026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8A50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8A5026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1C5C18EF" w:rsidR="0072123C" w:rsidRPr="008A5026" w:rsidRDefault="00625524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8A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134B43"/>
    <w:rsid w:val="001B5082"/>
    <w:rsid w:val="002266B2"/>
    <w:rsid w:val="0026243B"/>
    <w:rsid w:val="002D0656"/>
    <w:rsid w:val="002D4768"/>
    <w:rsid w:val="002D65D2"/>
    <w:rsid w:val="0036593F"/>
    <w:rsid w:val="00505F52"/>
    <w:rsid w:val="005330BD"/>
    <w:rsid w:val="005A33EF"/>
    <w:rsid w:val="005C675F"/>
    <w:rsid w:val="00625524"/>
    <w:rsid w:val="00636541"/>
    <w:rsid w:val="00647486"/>
    <w:rsid w:val="0072123C"/>
    <w:rsid w:val="0076079B"/>
    <w:rsid w:val="00835E51"/>
    <w:rsid w:val="008A5026"/>
    <w:rsid w:val="00923E41"/>
    <w:rsid w:val="00940DD4"/>
    <w:rsid w:val="009B475B"/>
    <w:rsid w:val="00B30F0F"/>
    <w:rsid w:val="00B864A8"/>
    <w:rsid w:val="00C42A4B"/>
    <w:rsid w:val="00C6556F"/>
    <w:rsid w:val="00CD374B"/>
    <w:rsid w:val="00DF474E"/>
    <w:rsid w:val="00E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23</cp:revision>
  <dcterms:created xsi:type="dcterms:W3CDTF">2025-11-25T09:56:00Z</dcterms:created>
  <dcterms:modified xsi:type="dcterms:W3CDTF">2026-03-12T11:57:00Z</dcterms:modified>
</cp:coreProperties>
</file>